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93" w:rsidRPr="00223C33" w:rsidRDefault="00223C33">
      <w:pPr>
        <w:rPr>
          <w:b/>
          <w:sz w:val="24"/>
          <w:szCs w:val="24"/>
          <w:lang w:val="se-NO"/>
        </w:rPr>
      </w:pPr>
      <w:proofErr w:type="spellStart"/>
      <w:r w:rsidRPr="00223C33">
        <w:rPr>
          <w:b/>
          <w:sz w:val="24"/>
          <w:szCs w:val="24"/>
          <w:lang w:val="se-NO"/>
        </w:rPr>
        <w:t>Retningslinjer</w:t>
      </w:r>
      <w:proofErr w:type="spellEnd"/>
      <w:r w:rsidRPr="00223C33">
        <w:rPr>
          <w:b/>
          <w:sz w:val="24"/>
          <w:szCs w:val="24"/>
          <w:lang w:val="se-NO"/>
        </w:rPr>
        <w:t xml:space="preserve"> AD HOC </w:t>
      </w:r>
      <w:proofErr w:type="spellStart"/>
      <w:r w:rsidRPr="00223C33">
        <w:rPr>
          <w:b/>
          <w:sz w:val="24"/>
          <w:szCs w:val="24"/>
          <w:lang w:val="se-NO"/>
        </w:rPr>
        <w:t>midler</w:t>
      </w:r>
      <w:proofErr w:type="spellEnd"/>
    </w:p>
    <w:p w:rsidR="00223C33" w:rsidRPr="00223C33" w:rsidRDefault="00223C33" w:rsidP="00223C33">
      <w:pPr>
        <w:pStyle w:val="Ingenmellomrom"/>
        <w:rPr>
          <w:b/>
        </w:rPr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AD HOC midler</w:t>
      </w:r>
    </w:p>
    <w:p w:rsidR="00223C33" w:rsidRDefault="00223C33" w:rsidP="00223C33">
      <w:pPr>
        <w:pStyle w:val="Ingenmellomrom"/>
      </w:pPr>
      <w:r>
        <w:t>•</w:t>
      </w:r>
      <w:r>
        <w:tab/>
        <w:t>er beregnet for faglig utvikling for søkerne</w:t>
      </w:r>
    </w:p>
    <w:p w:rsidR="00223C33" w:rsidRDefault="00223C33" w:rsidP="00223C33">
      <w:pPr>
        <w:pStyle w:val="Ingenmellomrom"/>
      </w:pPr>
      <w:r>
        <w:t>•</w:t>
      </w:r>
      <w:r>
        <w:tab/>
        <w:t>skal gå til kortvarige prosjekt der kunstnerne ikke har hatt mulighet til å søke andre midler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er ment å skulle hjelpe kunstnere som på kort varsel får tilbud om å delta på festivaler, konserter, utstillinger, kurs etc.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alle enkeltmedlemmer i kunstnerorganisasjonene som er medlemmer av Samisk Kunstnerråd kan søke om AD HOC midler</w:t>
      </w:r>
    </w:p>
    <w:p w:rsidR="00223C33" w:rsidRDefault="00223C33" w:rsidP="00223C33">
      <w:pPr>
        <w:pStyle w:val="Ingenmellomrom"/>
      </w:pPr>
      <w:r>
        <w:t>•</w:t>
      </w:r>
      <w:r>
        <w:tab/>
        <w:t>det kan søkes om midler inntil kr. 25 000,-</w:t>
      </w:r>
    </w:p>
    <w:p w:rsidR="00223C33" w:rsidRDefault="00223C33" w:rsidP="00223C33">
      <w:pPr>
        <w:pStyle w:val="Ingenmellomrom"/>
      </w:pPr>
      <w:r>
        <w:t>•</w:t>
      </w:r>
      <w:r>
        <w:tab/>
        <w:t>søknadsfrist 10 januar, 10. april, 10. juni og 10. september</w:t>
      </w: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Det innvilges ikke midler til</w:t>
      </w:r>
    </w:p>
    <w:p w:rsidR="00223C33" w:rsidRDefault="00223C33" w:rsidP="00223C33">
      <w:pPr>
        <w:pStyle w:val="Ingenmellomrom"/>
      </w:pPr>
      <w:r>
        <w:t>•</w:t>
      </w:r>
      <w:r>
        <w:tab/>
        <w:t>prosjekter som er avsluttet for søknadsfristens utløp</w:t>
      </w:r>
    </w:p>
    <w:p w:rsidR="00223C33" w:rsidRDefault="00223C33" w:rsidP="00223C33">
      <w:pPr>
        <w:pStyle w:val="Ingenmellomrom"/>
      </w:pPr>
      <w:r>
        <w:t>•</w:t>
      </w:r>
      <w:r>
        <w:tab/>
        <w:t>større, lenge planlagte prosjekt</w:t>
      </w:r>
    </w:p>
    <w:p w:rsidR="00223C33" w:rsidRDefault="00223C33" w:rsidP="00223C33">
      <w:pPr>
        <w:pStyle w:val="Ingenmellomrom"/>
      </w:pPr>
      <w:r>
        <w:t>•</w:t>
      </w:r>
      <w:r>
        <w:tab/>
        <w:t>forprosjekt</w:t>
      </w:r>
    </w:p>
    <w:p w:rsidR="00223C33" w:rsidRDefault="00223C33" w:rsidP="00223C33">
      <w:pPr>
        <w:pStyle w:val="Ingenmellomrom"/>
      </w:pPr>
      <w:r>
        <w:t>•</w:t>
      </w:r>
      <w:r>
        <w:tab/>
        <w:t>honorar til andre aktører</w:t>
      </w:r>
    </w:p>
    <w:p w:rsidR="00223C33" w:rsidRDefault="00223C33" w:rsidP="00223C33">
      <w:pPr>
        <w:pStyle w:val="Ingenmellomrom"/>
      </w:pPr>
      <w:r>
        <w:t>•</w:t>
      </w:r>
      <w:r>
        <w:tab/>
        <w:t>innkjøp av utstyr</w:t>
      </w: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Kriterier for tildeling av AD HOC midler</w:t>
      </w:r>
    </w:p>
    <w:p w:rsidR="00223C33" w:rsidRDefault="00223C33" w:rsidP="00223C33">
      <w:pPr>
        <w:pStyle w:val="Ingenmellomrom"/>
      </w:pPr>
      <w:r>
        <w:t>Ved tildeling av midler skal det legges særlig vekt på</w:t>
      </w:r>
    </w:p>
    <w:p w:rsidR="00223C33" w:rsidRDefault="00223C33" w:rsidP="00223C33">
      <w:pPr>
        <w:pStyle w:val="Ingenmellomrom"/>
      </w:pPr>
      <w:r>
        <w:t>•</w:t>
      </w:r>
      <w:r>
        <w:tab/>
        <w:t>kunstnerisk kvalitet</w:t>
      </w:r>
    </w:p>
    <w:p w:rsidR="00223C33" w:rsidRDefault="00223C33" w:rsidP="00223C33">
      <w:pPr>
        <w:pStyle w:val="Ingenmellomrom"/>
      </w:pPr>
      <w:r>
        <w:t>•</w:t>
      </w:r>
      <w:r>
        <w:tab/>
        <w:t xml:space="preserve">nytteverdi for kunstneren </w:t>
      </w:r>
    </w:p>
    <w:p w:rsidR="00223C33" w:rsidRDefault="00223C33" w:rsidP="00223C33">
      <w:pPr>
        <w:pStyle w:val="Ingenmellomrom"/>
      </w:pPr>
      <w:r>
        <w:t>•</w:t>
      </w:r>
      <w:r>
        <w:tab/>
        <w:t>nytteverdi for det samiske samfunn</w:t>
      </w: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Når man har fått midler til AD HOC</w:t>
      </w:r>
    </w:p>
    <w:p w:rsidR="00223C33" w:rsidRDefault="00223C33" w:rsidP="00223C33">
      <w:pPr>
        <w:pStyle w:val="Ingenmellomrom"/>
      </w:pPr>
      <w:r>
        <w:t>•</w:t>
      </w:r>
      <w:r>
        <w:tab/>
        <w:t>Frist for gjennomføring av prosjektet/tiltaket er 4 mnd.</w:t>
      </w:r>
    </w:p>
    <w:p w:rsidR="00223C33" w:rsidRDefault="00223C33" w:rsidP="00223C33">
      <w:pPr>
        <w:pStyle w:val="Ingenmellomrom"/>
      </w:pPr>
      <w:r>
        <w:t>•</w:t>
      </w:r>
      <w:r>
        <w:tab/>
        <w:t>Tilskuddet i sin helhet utbetales når rapport og regnskap i henhold til søknad foreligger.</w:t>
      </w: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Felles for samarbeidsprosjekt og AD HOC midler</w:t>
      </w:r>
    </w:p>
    <w:p w:rsidR="00223C33" w:rsidRDefault="00223C33" w:rsidP="00223C33">
      <w:pPr>
        <w:pStyle w:val="Ingenmellomrom"/>
      </w:pPr>
      <w:r>
        <w:t>•</w:t>
      </w:r>
      <w:r>
        <w:tab/>
        <w:t>Det skal søkes på fastsatte skjemaer hvor alle punkter fylles</w:t>
      </w:r>
    </w:p>
    <w:p w:rsidR="00223C33" w:rsidRDefault="00223C33" w:rsidP="00223C33">
      <w:pPr>
        <w:pStyle w:val="Ingenmellomrom"/>
      </w:pPr>
      <w:r>
        <w:t>•</w:t>
      </w:r>
      <w:r>
        <w:tab/>
        <w:t>Tilskuddene øremerkes det gjeldende prosjektet og kan ikke brukes til noe annet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Dáiddafoanda skal alltid nevnes som finansieringskilde for prosjektet f.eks. på plakater, i program, i verklister, på nettsider der prosjektet presenteres etc.</w:t>
      </w: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Rapportering av AD HOC midler</w:t>
      </w:r>
    </w:p>
    <w:p w:rsidR="00223C33" w:rsidRDefault="00223C33" w:rsidP="00223C33">
      <w:pPr>
        <w:pStyle w:val="Ingenmellomrom"/>
      </w:pPr>
      <w:r>
        <w:t>•</w:t>
      </w:r>
      <w:r>
        <w:tab/>
        <w:t>Det rapporteres på fastsatte skjemaer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Det rapporteres for prosjektet der oppnådde resultater evalueres, sett i lys av formålet med prosjektet, jf. søknad. Utgifter dokumenteres med vedlagte bilag (kopier), utgifter må følge spesifiseringen i kostnadsoverslaget slik at det klart kommer frem hva tilskuddet er brukt til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 xml:space="preserve">Samisk </w:t>
      </w:r>
      <w:proofErr w:type="spellStart"/>
      <w:r>
        <w:t>Kunstnerråds</w:t>
      </w:r>
      <w:proofErr w:type="spellEnd"/>
      <w:r>
        <w:t xml:space="preserve"> sekretariat foretar en generell rimelighetskontroll av rapportene. Videre gjennomgår sekretariatet rapportene for å vurdere om bruken av midlene er gjennomført etter forutsetningen for tildelingen. Sekretariatets kontroll baserer seg på de opplysninger som er gitt av søkeren/søkerne.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Dáiddafoanda og riksrevisjonen kan kontrollere at bevilgninger fra Dáiddafoanda nyttes etter forutsetningene, jf. Stortingets bevilgningsreglement § 10.</w:t>
      </w:r>
    </w:p>
    <w:p w:rsidR="00223C33" w:rsidRDefault="00223C33" w:rsidP="00223C33">
      <w:pPr>
        <w:pStyle w:val="Ingenmellomrom"/>
        <w:ind w:left="705" w:hanging="705"/>
      </w:pPr>
      <w:bookmarkStart w:id="0" w:name="_Hlk17278493"/>
      <w:r>
        <w:t>•</w:t>
      </w:r>
      <w:r>
        <w:tab/>
      </w:r>
      <w:bookmarkEnd w:id="0"/>
      <w:r>
        <w:t>Ved mislighold av rapporteringsplikten må utbetalt beløp tilbakebetales. Tilskuddsmottagere som unnlater å sende inn rapport, kan tape retten til å få tildelt midler fra Dáiddafoanda.</w:t>
      </w:r>
    </w:p>
    <w:p w:rsidR="00906432" w:rsidRDefault="00906432" w:rsidP="00906432">
      <w:pPr>
        <w:pStyle w:val="Ingenmellomrom"/>
        <w:ind w:left="705" w:hanging="705"/>
      </w:pPr>
      <w:r w:rsidRPr="00906432">
        <w:t>•</w:t>
      </w:r>
      <w:r w:rsidRPr="00906432">
        <w:tab/>
      </w:r>
      <w:r>
        <w:t xml:space="preserve">Søkere som ikke har rapportert for tidligere tildelte midler kan ikke tildeles nye midler før </w:t>
      </w:r>
    </w:p>
    <w:p w:rsidR="00906432" w:rsidRDefault="00906432" w:rsidP="00906432">
      <w:pPr>
        <w:pStyle w:val="Ingenmellomrom"/>
        <w:ind w:left="705" w:hanging="705"/>
      </w:pPr>
      <w:r>
        <w:tab/>
      </w:r>
      <w:r>
        <w:t xml:space="preserve">tidligere tildelte midler er rapportert for. Dette gjelder ikke om søker er tildelt </w:t>
      </w:r>
    </w:p>
    <w:p w:rsidR="00906432" w:rsidRDefault="00906432" w:rsidP="00906432">
      <w:pPr>
        <w:pStyle w:val="Ingenmellomrom"/>
        <w:ind w:left="705" w:hanging="705"/>
      </w:pPr>
    </w:p>
    <w:p w:rsidR="00906432" w:rsidRDefault="00906432" w:rsidP="00906432">
      <w:pPr>
        <w:pStyle w:val="Ingenmellomrom"/>
        <w:ind w:left="705"/>
      </w:pPr>
      <w:r>
        <w:lastRenderedPageBreak/>
        <w:t xml:space="preserve">samarbeidsprosjekt og som søker Ad hoc midler før 2-årsfristen for samarbeidsprosjekt er </w:t>
      </w:r>
    </w:p>
    <w:p w:rsidR="00906432" w:rsidRDefault="00906432" w:rsidP="00906432">
      <w:pPr>
        <w:pStyle w:val="Ingenmellomrom"/>
        <w:ind w:left="705"/>
      </w:pPr>
      <w:bookmarkStart w:id="1" w:name="_GoBack"/>
      <w:bookmarkEnd w:id="1"/>
      <w:r>
        <w:t>utløpt.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 xml:space="preserve">Dersom prosjektet ikke gjennomføres innen tidsfristen, vil midlene bli tilbakeført Dáiddafoanda. </w:t>
      </w:r>
    </w:p>
    <w:p w:rsidR="00223C33" w:rsidRDefault="00223C33" w:rsidP="00223C33">
      <w:pPr>
        <w:pStyle w:val="Ingenmellomrom"/>
        <w:ind w:left="705" w:hanging="705"/>
      </w:pPr>
      <w:r>
        <w:t>•</w:t>
      </w:r>
      <w:r>
        <w:tab/>
        <w:t>Dersom tidsfristen for gjennomføringen må utsettes, må det søkes om forlengelse for tidsfristens utløp. Søknad sendes til sekretariatet som behandler denne.</w:t>
      </w:r>
    </w:p>
    <w:p w:rsidR="00223C33" w:rsidRDefault="00223C33" w:rsidP="00223C33">
      <w:pPr>
        <w:pStyle w:val="Ingenmellomrom"/>
      </w:pPr>
      <w:r>
        <w:t>•</w:t>
      </w:r>
      <w:r>
        <w:tab/>
        <w:t>Endring av bruk av tilskudd må på forhånd være godkjent av Dáiddafoandas utvalg</w:t>
      </w:r>
    </w:p>
    <w:p w:rsidR="00223C33" w:rsidRDefault="00223C33" w:rsidP="00223C33">
      <w:pPr>
        <w:pStyle w:val="Ingenmellomrom"/>
      </w:pPr>
    </w:p>
    <w:p w:rsidR="00223C33" w:rsidRDefault="00223C33" w:rsidP="00223C33">
      <w:pPr>
        <w:pStyle w:val="Ingenmellomrom"/>
      </w:pPr>
    </w:p>
    <w:p w:rsidR="00223C33" w:rsidRPr="00223C33" w:rsidRDefault="00223C33" w:rsidP="00223C33">
      <w:pPr>
        <w:pStyle w:val="Ingenmellomrom"/>
        <w:rPr>
          <w:b/>
        </w:rPr>
      </w:pPr>
      <w:r w:rsidRPr="00223C33">
        <w:rPr>
          <w:b/>
        </w:rPr>
        <w:t>Klageadgang</w:t>
      </w:r>
    </w:p>
    <w:p w:rsidR="00223C33" w:rsidRDefault="00223C33" w:rsidP="00223C33">
      <w:pPr>
        <w:pStyle w:val="Ingenmellomrom"/>
      </w:pPr>
      <w:r>
        <w:t>Klagefristen er 3 uker fra det tidspunktet søker blir underrettet om vedtaket, jf. forvaltningsloven § 29. Søkere som får sin søknad avvist, har klagerett på avvisningsvedtaket, jf. forvaltningslovens § 2, tredje ledd og forvaltningslovens kap. VI.</w:t>
      </w:r>
    </w:p>
    <w:p w:rsidR="00223C33" w:rsidRDefault="00223C33" w:rsidP="00223C33">
      <w:pPr>
        <w:pStyle w:val="Ingenmellomrom"/>
      </w:pPr>
      <w:r>
        <w:t>Det kan ikke klages over det kunstneriske skjønn som ligger til grunn for styrets vedtak. Klageadgangen er begrenset til å gjelde saksbehandling og rettsanvendelse.</w:t>
      </w:r>
    </w:p>
    <w:p w:rsidR="00223C33" w:rsidRDefault="00223C33" w:rsidP="00223C33">
      <w:pPr>
        <w:pStyle w:val="Ingenmellomrom"/>
      </w:pPr>
      <w:r>
        <w:t xml:space="preserve">Dáiddafoandas utvalg behandler klagen. Dersom Dáiddafoandas utvalg opprettholder det opprinnelige vedtaket, kan avgjørelsen ankes til Samisk </w:t>
      </w:r>
      <w:proofErr w:type="spellStart"/>
      <w:r>
        <w:t>Kunstnerråds</w:t>
      </w:r>
      <w:proofErr w:type="spellEnd"/>
      <w:r>
        <w:t xml:space="preserve"> styre.</w:t>
      </w:r>
    </w:p>
    <w:p w:rsidR="00223C33" w:rsidRDefault="00223C33" w:rsidP="00223C33">
      <w:pPr>
        <w:pStyle w:val="Ingenmellomrom"/>
      </w:pPr>
    </w:p>
    <w:p w:rsidR="00223C33" w:rsidRDefault="00223C33" w:rsidP="00223C33">
      <w:pPr>
        <w:pStyle w:val="Ingenmellomrom"/>
      </w:pPr>
    </w:p>
    <w:p w:rsidR="00223C33" w:rsidRDefault="00223C33" w:rsidP="00223C33">
      <w:pPr>
        <w:pStyle w:val="Ingenmellomrom"/>
      </w:pPr>
    </w:p>
    <w:sectPr w:rsidR="0022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33"/>
    <w:rsid w:val="000725E2"/>
    <w:rsid w:val="00223C33"/>
    <w:rsid w:val="00387593"/>
    <w:rsid w:val="00906432"/>
    <w:rsid w:val="00964294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9685"/>
  <w15:chartTrackingRefBased/>
  <w15:docId w15:val="{D49D58E1-A373-4D63-89B3-4F4EC88E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3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4</cp:revision>
  <dcterms:created xsi:type="dcterms:W3CDTF">2018-09-21T15:27:00Z</dcterms:created>
  <dcterms:modified xsi:type="dcterms:W3CDTF">2019-08-21T09:16:00Z</dcterms:modified>
</cp:coreProperties>
</file>