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Heading2"/>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SØKNAD OM MEDLEMSSKAP I JUOIGIID SEARVI</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auto" w:val="clear"/>
          </w:tcPr>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Navn:</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Adresse:</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Poststed:</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Tlf. Nummer:</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C">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Juoigiid Searvis hovedformål:</w:t>
      </w:r>
    </w:p>
    <w:p w:rsidR="00000000" w:rsidDel="00000000" w:rsidP="00000000" w:rsidRDefault="00000000" w:rsidRPr="00000000" w14:paraId="0000000D">
      <w:pPr>
        <w:numPr>
          <w:ilvl w:val="0"/>
          <w:numId w:val="1"/>
        </w:numPr>
        <w:ind w:left="36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fremme og bevare tradisjonell joik</w:t>
      </w:r>
    </w:p>
    <w:p w:rsidR="00000000" w:rsidDel="00000000" w:rsidP="00000000" w:rsidRDefault="00000000" w:rsidRPr="00000000" w14:paraId="0000000E">
      <w:pPr>
        <w:numPr>
          <w:ilvl w:val="0"/>
          <w:numId w:val="1"/>
        </w:numPr>
        <w:ind w:left="36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fremme og styrke joikens rettslige stilling</w:t>
      </w:r>
    </w:p>
    <w:p w:rsidR="00000000" w:rsidDel="00000000" w:rsidP="00000000" w:rsidRDefault="00000000" w:rsidRPr="00000000" w14:paraId="0000000F">
      <w:pPr>
        <w:numPr>
          <w:ilvl w:val="0"/>
          <w:numId w:val="1"/>
        </w:numPr>
        <w:ind w:left="36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arbeide for å få etablert økonomiske støtteordninger for joikere, med stipend, fond og andre støtteordninger</w:t>
      </w:r>
    </w:p>
    <w:p w:rsidR="00000000" w:rsidDel="00000000" w:rsidP="00000000" w:rsidRDefault="00000000" w:rsidRPr="00000000" w14:paraId="00000010">
      <w:pPr>
        <w:numPr>
          <w:ilvl w:val="0"/>
          <w:numId w:val="1"/>
        </w:numPr>
        <w:ind w:left="36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arbeide for at det skal bli enklere å gi ut joik</w:t>
      </w:r>
    </w:p>
    <w:p w:rsidR="00000000" w:rsidDel="00000000" w:rsidP="00000000" w:rsidRDefault="00000000" w:rsidRPr="00000000" w14:paraId="00000011">
      <w:pPr>
        <w:numPr>
          <w:ilvl w:val="0"/>
          <w:numId w:val="1"/>
        </w:numPr>
        <w:ind w:left="36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bidra med faglige råd og veiledning for folk som vil arbeide med joik</w:t>
      </w:r>
    </w:p>
    <w:p w:rsidR="00000000" w:rsidDel="00000000" w:rsidP="00000000" w:rsidRDefault="00000000" w:rsidRPr="00000000" w14:paraId="0000001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 av Juoigiid Searvi kan enhver bli som behersker tradisjonell joikedialekt og har kunnskap om joikekulturen. Samisk ungdom, over 18 år, joiker 5 joik som sendes til Juoigiid Searvi. Juoigiid Searvi utnevner utvalg for joikeområdene. Joik sendes til Juoigiid Searvi som sender joikene til de riktige utvalg som vurderer deres joikeferdigheter. Joikere kan selv kontakte utvalgene.</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auto" w:val="clear"/>
          </w:tcPr>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Hvilken plate eller cd har du deltatt i?</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 du deltatt på konserter? Når? Hvem var arrangør?</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Send med joike cv og / eller konsertprogram. Medlemskontingent er kr. 300 pr. år.</w:t>
      </w:r>
    </w:p>
    <w:p w:rsidR="00000000" w:rsidDel="00000000" w:rsidP="00000000" w:rsidRDefault="00000000" w:rsidRPr="00000000" w14:paraId="00000025">
      <w:pPr>
        <w:contextualSpacing w:val="0"/>
        <w:rPr>
          <w:sz w:val="24"/>
          <w:szCs w:val="24"/>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shd w:fill="auto" w:val="clear"/>
          </w:tcPr>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Sted:</w:t>
            </w:r>
          </w:p>
          <w:p w:rsidR="00000000" w:rsidDel="00000000" w:rsidP="00000000" w:rsidRDefault="00000000" w:rsidRPr="00000000" w14:paraId="00000027">
            <w:pPr>
              <w:contextualSpacing w:val="0"/>
              <w:rPr>
                <w:sz w:val="24"/>
                <w:szCs w:val="24"/>
              </w:rPr>
            </w:pPr>
            <w:r w:rsidDel="00000000" w:rsidR="00000000" w:rsidRPr="00000000">
              <w:rPr>
                <w:rtl w:val="0"/>
              </w:rPr>
            </w:r>
          </w:p>
        </w:tc>
        <w:tc>
          <w:tcPr>
            <w:shd w:fill="auto" w:val="clear"/>
          </w:tcPr>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Dato:</w:t>
            </w:r>
          </w:p>
        </w:tc>
      </w:tr>
      <w:tr>
        <w:tc>
          <w:tcPr>
            <w:gridSpan w:val="2"/>
            <w:shd w:fill="auto" w:val="clear"/>
          </w:tcPr>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Underskrift:</w:t>
            </w:r>
          </w:p>
          <w:p w:rsidR="00000000" w:rsidDel="00000000" w:rsidP="00000000" w:rsidRDefault="00000000" w:rsidRPr="00000000" w14:paraId="0000002A">
            <w:pPr>
              <w:contextualSpacing w:val="0"/>
              <w:rPr>
                <w:sz w:val="24"/>
                <w:szCs w:val="24"/>
              </w:rPr>
            </w:pPr>
            <w:r w:rsidDel="00000000" w:rsidR="00000000" w:rsidRPr="00000000">
              <w:rPr>
                <w:rtl w:val="0"/>
              </w:rPr>
            </w:r>
          </w:p>
        </w:tc>
      </w:tr>
    </w:tbl>
    <w:p w:rsidR="00000000" w:rsidDel="00000000" w:rsidP="00000000" w:rsidRDefault="00000000" w:rsidRPr="00000000" w14:paraId="0000002C">
      <w:pPr>
        <w:contextualSpacing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7763.0" w:type="dxa"/>
      <w:jc w:val="left"/>
      <w:tblInd w:w="0.0" w:type="dxa"/>
      <w:tblLayout w:type="fixed"/>
      <w:tblLook w:val="0400"/>
    </w:tblPr>
    <w:tblGrid>
      <w:gridCol w:w="2303"/>
      <w:gridCol w:w="2767"/>
      <w:gridCol w:w="2693"/>
      <w:tblGridChange w:id="0">
        <w:tblGrid>
          <w:gridCol w:w="2303"/>
          <w:gridCol w:w="2767"/>
          <w:gridCol w:w="2693"/>
        </w:tblGrid>
      </w:tblGridChange>
    </w:tblGrid>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Juoigiid Searvi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P.b.23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9735 Karasjok</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Tlf.: (+47) 784 67 006</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E-post: post@samidaiddar.no</w:t>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Kontonr.: 4901 11 30312</w:t>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0" distR="0">
          <wp:extent cx="1781592" cy="68745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81592" cy="68745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se-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6"/>
      <w:szCs w:val="26"/>
    </w:rPr>
  </w:style>
  <w:style w:type="paragraph" w:styleId="Heading2">
    <w:name w:val="heading 2"/>
    <w:basedOn w:val="Normal"/>
    <w:next w:val="Normal"/>
    <w:pPr>
      <w:keepNext w:val="1"/>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